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jc w:val="right"/>
        <w:outlineLvl w:val="1"/>
      </w:pPr>
      <w:r>
        <w:t>Приложение N 4</w:t>
      </w:r>
    </w:p>
    <w:p w:rsidR="00077AAB" w:rsidRDefault="00077AAB" w:rsidP="00077AAB">
      <w:pPr>
        <w:pStyle w:val="ConsPlusNormal"/>
        <w:jc w:val="right"/>
      </w:pPr>
      <w:r>
        <w:t xml:space="preserve">к Правилам </w:t>
      </w:r>
      <w:proofErr w:type="gramStart"/>
      <w:r>
        <w:t>противопожарного</w:t>
      </w:r>
      <w:proofErr w:type="gramEnd"/>
    </w:p>
    <w:p w:rsidR="00077AAB" w:rsidRDefault="00077AAB" w:rsidP="00077AAB">
      <w:pPr>
        <w:pStyle w:val="ConsPlusNormal"/>
        <w:jc w:val="right"/>
      </w:pPr>
      <w:r>
        <w:t>режима в Российской Федерации</w:t>
      </w: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Title"/>
        <w:jc w:val="center"/>
      </w:pPr>
      <w:bookmarkStart w:id="0" w:name="Par1507"/>
      <w:bookmarkEnd w:id="0"/>
      <w:r>
        <w:t>ПОРЯДОК</w:t>
      </w:r>
    </w:p>
    <w:p w:rsidR="00077AAB" w:rsidRDefault="00077AAB" w:rsidP="00077AAB">
      <w:pPr>
        <w:pStyle w:val="ConsPlusTitle"/>
        <w:jc w:val="center"/>
      </w:pPr>
      <w:r>
        <w:t>ИСПОЛЬЗОВАНИЯ ОТКРЫТОГО ОГНЯ И РАЗВЕДЕНИЯ КОСТРОВ НА ЗЕМЛЯХ</w:t>
      </w:r>
    </w:p>
    <w:p w:rsidR="00077AAB" w:rsidRDefault="00077AAB" w:rsidP="00077AAB">
      <w:pPr>
        <w:pStyle w:val="ConsPlusTitle"/>
        <w:jc w:val="center"/>
      </w:pPr>
      <w:r>
        <w:t xml:space="preserve">СЕЛЬСКОХОЗЯЙСТВЕННОГО НАЗНАЧЕНИЯ, </w:t>
      </w:r>
      <w:proofErr w:type="gramStart"/>
      <w:r>
        <w:t>ЗЕМЛЯХ</w:t>
      </w:r>
      <w:proofErr w:type="gramEnd"/>
      <w:r>
        <w:t xml:space="preserve"> ЗАПАСА И ЗЕМЛЯХ</w:t>
      </w:r>
    </w:p>
    <w:p w:rsidR="00077AAB" w:rsidRDefault="00077AAB" w:rsidP="00077AAB">
      <w:pPr>
        <w:pStyle w:val="ConsPlusTitle"/>
        <w:jc w:val="center"/>
      </w:pPr>
      <w:r>
        <w:t>НАСЕЛЕННЫХ ПУНКТОВ</w:t>
      </w: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ind w:firstLine="540"/>
        <w:jc w:val="both"/>
      </w:pPr>
      <w: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bookmarkStart w:id="1" w:name="Par1513"/>
      <w:bookmarkEnd w:id="1"/>
      <w:r>
        <w:t>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proofErr w:type="gramStart"/>
      <w: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>
        <w:t xml:space="preserve"> более 1 куб. метра;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bookmarkStart w:id="2" w:name="Par1515"/>
      <w:bookmarkEnd w:id="2"/>
      <w: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bookmarkStart w:id="3" w:name="Par1516"/>
      <w:bookmarkEnd w:id="3"/>
      <w: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 xml:space="preserve">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</w:t>
      </w:r>
      <w:hyperlink w:anchor="Par1515" w:tooltip="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ar1516" w:tooltip="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" w:history="1">
        <w:r>
          <w:rPr>
            <w:color w:val="0000FF"/>
          </w:rPr>
          <w:t>"в" пункта 2</w:t>
        </w:r>
      </w:hyperlink>
      <w:r>
        <w:t xml:space="preserve"> порядка, могут быть уменьшены вдвое. При этом устройство противопожарной минерализованной полосы не требуется.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lastRenderedPageBreak/>
        <w:t xml:space="preserve">5. </w:t>
      </w:r>
      <w:proofErr w:type="gramStart"/>
      <w: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>
        <w:t>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 xml:space="preserve">7. При увеличении диаметра зоны очага горения должны быть выполнены требования </w:t>
      </w:r>
      <w:hyperlink w:anchor="Par1513" w:tooltip="2. Использование открытого огня должно осуществляться в специально оборудованных местах при выполнении следующих требований:" w:history="1">
        <w:r>
          <w:rPr>
            <w:color w:val="0000FF"/>
          </w:rPr>
          <w:t>пункта 2</w:t>
        </w:r>
      </w:hyperlink>
      <w:r>
        <w:t xml:space="preserve">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>
        <w:t>контроль за</w:t>
      </w:r>
      <w:proofErr w:type="gramEnd"/>
      <w:r>
        <w:t xml:space="preserve"> нераспространением горения (тления) за пределы очаговой зоны.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9. Использование открытого огня запрещается: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на торфяных почвах;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при установлении на соответствующей территории особого противопожарного режима;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под кронами деревьев хвойных пород;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при скорости ветра, превышающей значение 10 метров в секунду.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10. В процессе использования открытого огня запрещается: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 xml:space="preserve"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</w:t>
      </w:r>
      <w:r>
        <w:lastRenderedPageBreak/>
        <w:t>вещества;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оставлять место очага горения без присмотра до полного прекращения горения (тления);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располагать легковоспламеняющиеся и горючие жидкости, а также горючие материалы вблизи очага горения.</w:t>
      </w:r>
    </w:p>
    <w:p w:rsidR="00077AAB" w:rsidRDefault="00077AAB" w:rsidP="00077AAB">
      <w:pPr>
        <w:pStyle w:val="ConsPlusNormal"/>
        <w:spacing w:before="240"/>
        <w:ind w:firstLine="540"/>
        <w:jc w:val="both"/>
      </w:pPr>
      <w:r>
        <w:t>11.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jc w:val="right"/>
        <w:outlineLvl w:val="2"/>
      </w:pPr>
      <w:r>
        <w:t>Приложение</w:t>
      </w:r>
    </w:p>
    <w:p w:rsidR="00077AAB" w:rsidRDefault="00077AAB" w:rsidP="00077AAB">
      <w:pPr>
        <w:pStyle w:val="ConsPlusNormal"/>
        <w:jc w:val="right"/>
      </w:pPr>
      <w:r>
        <w:t>к порядку использования открытого</w:t>
      </w:r>
    </w:p>
    <w:p w:rsidR="00077AAB" w:rsidRDefault="00077AAB" w:rsidP="00077AAB">
      <w:pPr>
        <w:pStyle w:val="ConsPlusNormal"/>
        <w:jc w:val="right"/>
      </w:pPr>
      <w:r>
        <w:t>огня и разведения костров на землях</w:t>
      </w:r>
    </w:p>
    <w:p w:rsidR="00077AAB" w:rsidRDefault="00077AAB" w:rsidP="00077AAB">
      <w:pPr>
        <w:pStyle w:val="ConsPlusNormal"/>
        <w:jc w:val="right"/>
      </w:pPr>
      <w:r>
        <w:t xml:space="preserve">сельскохозяйственного назначения, </w:t>
      </w:r>
      <w:proofErr w:type="gramStart"/>
      <w:r>
        <w:t>землях</w:t>
      </w:r>
      <w:proofErr w:type="gramEnd"/>
    </w:p>
    <w:p w:rsidR="00077AAB" w:rsidRDefault="00077AAB" w:rsidP="00077AAB">
      <w:pPr>
        <w:pStyle w:val="ConsPlusNormal"/>
        <w:jc w:val="right"/>
      </w:pPr>
      <w:r>
        <w:t xml:space="preserve">запаса и </w:t>
      </w:r>
      <w:proofErr w:type="gramStart"/>
      <w:r>
        <w:t>землях</w:t>
      </w:r>
      <w:proofErr w:type="gramEnd"/>
      <w:r>
        <w:t xml:space="preserve"> населенных пунктов</w:t>
      </w: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Title"/>
        <w:jc w:val="center"/>
      </w:pPr>
      <w:r>
        <w:t>МИНИМАЛЬНО ДОПУСТИМЫЙ РАДИУС</w:t>
      </w:r>
    </w:p>
    <w:p w:rsidR="00077AAB" w:rsidRDefault="00077AAB" w:rsidP="00077AAB">
      <w:pPr>
        <w:pStyle w:val="ConsPlusTitle"/>
        <w:jc w:val="center"/>
      </w:pPr>
      <w:r>
        <w:t xml:space="preserve">ЗОНЫ ОЧИСТКИ ТЕРРИТОРИИ ВОКРУГ ОЧАГА ГОРЕНИЯ ОТ </w:t>
      </w:r>
      <w:proofErr w:type="gramStart"/>
      <w:r>
        <w:t>СУХОСТОЙНЫХ</w:t>
      </w:r>
      <w:proofErr w:type="gramEnd"/>
    </w:p>
    <w:p w:rsidR="00077AAB" w:rsidRDefault="00077AAB" w:rsidP="00077AAB">
      <w:pPr>
        <w:pStyle w:val="ConsPlusTitle"/>
        <w:jc w:val="center"/>
      </w:pPr>
      <w:r>
        <w:t>ДЕРЕВЬЕВ, СУХОЙ ТРАВЫ, ВАЛЕЖНИКА, ПОРУБОЧНЫХ ОСТАТКОВ,</w:t>
      </w:r>
    </w:p>
    <w:p w:rsidR="00077AAB" w:rsidRDefault="00077AAB" w:rsidP="00077AAB">
      <w:pPr>
        <w:pStyle w:val="ConsPlusTitle"/>
        <w:jc w:val="center"/>
      </w:pPr>
      <w:r>
        <w:t>ДРУГИХ ГОРЮЧИХ МАТЕРИАЛОВ В ЗАВИСИМОСТИ ОТ ВЫСОТЫ</w:t>
      </w:r>
    </w:p>
    <w:p w:rsidR="00077AAB" w:rsidRDefault="00077AAB" w:rsidP="00077AAB">
      <w:pPr>
        <w:pStyle w:val="ConsPlusTitle"/>
        <w:jc w:val="center"/>
      </w:pPr>
      <w:r>
        <w:t>ТОЧКИ ИХ РАЗМЕЩЕНИЯ В МЕСТЕ ИСПОЛЬЗОВАНИЯ</w:t>
      </w:r>
    </w:p>
    <w:p w:rsidR="00077AAB" w:rsidRDefault="00077AAB" w:rsidP="00077AAB">
      <w:pPr>
        <w:pStyle w:val="ConsPlusTitle"/>
        <w:jc w:val="center"/>
      </w:pPr>
      <w:r>
        <w:t>ОТКРЫТОГО ОГНЯ НАД УРОВНЕМ ЗЕМЛИ</w:t>
      </w:r>
    </w:p>
    <w:p w:rsidR="00077AAB" w:rsidRDefault="00077AAB" w:rsidP="00077AAB">
      <w:pPr>
        <w:pStyle w:val="ConsPlusNormal"/>
        <w:jc w:val="both"/>
      </w:pPr>
    </w:p>
    <w:p w:rsidR="00077AAB" w:rsidRDefault="00077AAB" w:rsidP="00077AAB">
      <w:pPr>
        <w:pStyle w:val="ConsPlusNormal"/>
        <w:jc w:val="right"/>
      </w:pPr>
      <w:r>
        <w:t>(метров)</w:t>
      </w:r>
    </w:p>
    <w:p w:rsidR="00077AAB" w:rsidRDefault="00077AAB" w:rsidP="00077AAB">
      <w:pPr>
        <w:pStyle w:val="ConsPlusNormal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613"/>
      </w:tblGrid>
      <w:tr w:rsidR="00077AAB" w:rsidTr="00195511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AAB" w:rsidRDefault="00077AAB" w:rsidP="00195511">
            <w:pPr>
              <w:pStyle w:val="ConsPlusNormal"/>
              <w:jc w:val="center"/>
            </w:pPr>
            <w:r>
              <w:t>Высота точки размещения горючих материалов в месте использования открытого огня над уровнем земли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7AAB" w:rsidRDefault="00077AAB" w:rsidP="00195511">
            <w:pPr>
              <w:pStyle w:val="ConsPlusNormal"/>
              <w:jc w:val="center"/>
            </w:pPr>
            <w:r>
              <w:t>Минимальный допустимый радиус зоны очистки территории от места сжигания хвороста, лесной подстилки, сухой травы, валежника, порубочных остатков, других горючих материалов</w:t>
            </w:r>
          </w:p>
        </w:tc>
      </w:tr>
      <w:tr w:rsidR="00077AAB" w:rsidTr="00195511">
        <w:tc>
          <w:tcPr>
            <w:tcW w:w="3402" w:type="dxa"/>
            <w:tcBorders>
              <w:top w:val="single" w:sz="4" w:space="0" w:color="auto"/>
            </w:tcBorders>
            <w:vAlign w:val="bottom"/>
          </w:tcPr>
          <w:p w:rsidR="00077AAB" w:rsidRDefault="00077AAB" w:rsidP="0019551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13" w:type="dxa"/>
            <w:tcBorders>
              <w:top w:val="single" w:sz="4" w:space="0" w:color="auto"/>
            </w:tcBorders>
            <w:vAlign w:val="bottom"/>
          </w:tcPr>
          <w:p w:rsidR="00077AAB" w:rsidRDefault="00077AAB" w:rsidP="00195511">
            <w:pPr>
              <w:pStyle w:val="ConsPlusNormal"/>
              <w:jc w:val="center"/>
            </w:pPr>
            <w:r>
              <w:t>15</w:t>
            </w:r>
          </w:p>
        </w:tc>
      </w:tr>
      <w:tr w:rsidR="00077AAB" w:rsidTr="00195511">
        <w:tc>
          <w:tcPr>
            <w:tcW w:w="3402" w:type="dxa"/>
            <w:vAlign w:val="center"/>
          </w:tcPr>
          <w:p w:rsidR="00077AAB" w:rsidRDefault="00077AAB" w:rsidP="00195511">
            <w:pPr>
              <w:pStyle w:val="ConsPlusNormal"/>
              <w:jc w:val="center"/>
            </w:pPr>
            <w:r>
              <w:t>1,5</w:t>
            </w:r>
          </w:p>
        </w:tc>
        <w:tc>
          <w:tcPr>
            <w:tcW w:w="5613" w:type="dxa"/>
            <w:vAlign w:val="bottom"/>
          </w:tcPr>
          <w:p w:rsidR="00077AAB" w:rsidRDefault="00077AAB" w:rsidP="00195511">
            <w:pPr>
              <w:pStyle w:val="ConsPlusNormal"/>
              <w:jc w:val="center"/>
            </w:pPr>
            <w:r>
              <w:t>20</w:t>
            </w:r>
          </w:p>
        </w:tc>
      </w:tr>
      <w:tr w:rsidR="00077AAB" w:rsidTr="00195511">
        <w:tc>
          <w:tcPr>
            <w:tcW w:w="3402" w:type="dxa"/>
            <w:vAlign w:val="bottom"/>
          </w:tcPr>
          <w:p w:rsidR="00077AAB" w:rsidRDefault="00077AAB" w:rsidP="0019551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613" w:type="dxa"/>
            <w:vAlign w:val="center"/>
          </w:tcPr>
          <w:p w:rsidR="00077AAB" w:rsidRDefault="00077AAB" w:rsidP="00195511">
            <w:pPr>
              <w:pStyle w:val="ConsPlusNormal"/>
              <w:jc w:val="center"/>
            </w:pPr>
            <w:r>
              <w:t>25</w:t>
            </w:r>
          </w:p>
        </w:tc>
      </w:tr>
      <w:tr w:rsidR="00077AAB" w:rsidTr="00195511">
        <w:tc>
          <w:tcPr>
            <w:tcW w:w="3402" w:type="dxa"/>
            <w:vAlign w:val="bottom"/>
          </w:tcPr>
          <w:p w:rsidR="00077AAB" w:rsidRDefault="00077AAB" w:rsidP="00195511">
            <w:pPr>
              <w:pStyle w:val="ConsPlusNormal"/>
              <w:jc w:val="center"/>
            </w:pPr>
            <w:r>
              <w:t>2,5</w:t>
            </w:r>
          </w:p>
        </w:tc>
        <w:tc>
          <w:tcPr>
            <w:tcW w:w="5613" w:type="dxa"/>
            <w:vAlign w:val="bottom"/>
          </w:tcPr>
          <w:p w:rsidR="00077AAB" w:rsidRDefault="00077AAB" w:rsidP="00195511">
            <w:pPr>
              <w:pStyle w:val="ConsPlusNormal"/>
              <w:jc w:val="center"/>
            </w:pPr>
            <w:r>
              <w:t>30</w:t>
            </w:r>
          </w:p>
        </w:tc>
      </w:tr>
      <w:tr w:rsidR="00077AAB" w:rsidTr="00195511">
        <w:tc>
          <w:tcPr>
            <w:tcW w:w="3402" w:type="dxa"/>
            <w:tcBorders>
              <w:bottom w:val="single" w:sz="4" w:space="0" w:color="auto"/>
            </w:tcBorders>
            <w:vAlign w:val="bottom"/>
          </w:tcPr>
          <w:p w:rsidR="00077AAB" w:rsidRDefault="00077AAB" w:rsidP="0019551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5613" w:type="dxa"/>
            <w:tcBorders>
              <w:bottom w:val="single" w:sz="4" w:space="0" w:color="auto"/>
            </w:tcBorders>
            <w:vAlign w:val="bottom"/>
          </w:tcPr>
          <w:p w:rsidR="00077AAB" w:rsidRDefault="00077AAB" w:rsidP="00195511">
            <w:pPr>
              <w:pStyle w:val="ConsPlusNormal"/>
              <w:jc w:val="center"/>
            </w:pPr>
            <w:r>
              <w:t>50</w:t>
            </w:r>
          </w:p>
        </w:tc>
      </w:tr>
    </w:tbl>
    <w:p w:rsidR="003520A0" w:rsidRDefault="003520A0">
      <w:bookmarkStart w:id="4" w:name="_GoBack"/>
      <w:bookmarkEnd w:id="4"/>
    </w:p>
    <w:sectPr w:rsidR="00352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AB"/>
    <w:rsid w:val="00077AAB"/>
    <w:rsid w:val="0035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AAB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A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77A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1084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2022-07-04T13:05:00Z</dcterms:created>
  <dcterms:modified xsi:type="dcterms:W3CDTF">2022-07-04T13:05:00Z</dcterms:modified>
</cp:coreProperties>
</file>